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5D8E4F32" w:rsidR="00A63EC6" w:rsidRPr="00BA3ED2" w:rsidRDefault="00A63EC6" w:rsidP="00580F4A">
      <w:pPr>
        <w:pBdr>
          <w:bottom w:val="single" w:sz="4" w:space="1" w:color="auto"/>
        </w:pBdr>
        <w:tabs>
          <w:tab w:val="left" w:pos="5526"/>
          <w:tab w:val="right" w:pos="9639"/>
        </w:tabs>
        <w:rPr>
          <w:rFonts w:ascii="Calibri" w:hAnsi="Calibri" w:cs="Calibri"/>
          <w:b/>
          <w:bCs/>
          <w:lang w:val="en-US"/>
        </w:rPr>
      </w:pPr>
      <w:r w:rsidRPr="00BA3ED2">
        <w:rPr>
          <w:rFonts w:ascii="Calibri" w:hAnsi="Calibri" w:cs="Calibri"/>
          <w:b/>
          <w:bCs/>
          <w:lang w:val="en-US"/>
        </w:rPr>
        <w:t xml:space="preserve">3GPP TSG </w:t>
      </w:r>
      <w:r w:rsidR="00127DCF">
        <w:rPr>
          <w:rFonts w:ascii="Calibri" w:hAnsi="Calibri" w:cs="Calibri"/>
          <w:b/>
          <w:bCs/>
          <w:lang w:val="en-US"/>
        </w:rPr>
        <w:t>SA1</w:t>
      </w:r>
      <w:r w:rsidRPr="00BA3ED2">
        <w:rPr>
          <w:rFonts w:ascii="Calibri" w:hAnsi="Calibri" w:cs="Calibri"/>
          <w:b/>
          <w:bCs/>
          <w:lang w:val="en-US"/>
        </w:rPr>
        <w:t>#</w:t>
      </w:r>
      <w:r w:rsidR="00127DCF">
        <w:rPr>
          <w:rFonts w:ascii="Calibri" w:hAnsi="Calibri" w:cs="Calibri"/>
          <w:b/>
          <w:bCs/>
          <w:lang w:val="en-US"/>
        </w:rPr>
        <w:t>62</w:t>
      </w:r>
      <w:r w:rsidRPr="00BA3ED2">
        <w:rPr>
          <w:rFonts w:ascii="Calibri" w:hAnsi="Calibri" w:cs="Calibri"/>
          <w:b/>
          <w:bCs/>
          <w:lang w:val="en-US"/>
        </w:rPr>
        <w:tab/>
      </w:r>
      <w:r w:rsidR="00580F4A">
        <w:rPr>
          <w:rFonts w:ascii="Calibri" w:hAnsi="Calibri" w:cs="Calibri"/>
          <w:b/>
          <w:bCs/>
          <w:lang w:val="en-US"/>
        </w:rPr>
        <w:tab/>
      </w:r>
      <w:r w:rsidR="00127DCF">
        <w:rPr>
          <w:rFonts w:ascii="Calibri" w:hAnsi="Calibri" w:cs="Calibri"/>
          <w:b/>
          <w:bCs/>
          <w:lang w:val="en-US"/>
        </w:rPr>
        <w:t>S1-133</w:t>
      </w:r>
      <w:r w:rsidR="00EB7657">
        <w:rPr>
          <w:rFonts w:ascii="Calibri" w:hAnsi="Calibri" w:cs="Calibri"/>
          <w:b/>
          <w:bCs/>
          <w:lang w:val="en-US"/>
        </w:rPr>
        <w:t>044</w:t>
      </w:r>
    </w:p>
    <w:p w14:paraId="554E79B0" w14:textId="2B2DB818" w:rsidR="00A63EC6" w:rsidRPr="00BA3ED2" w:rsidRDefault="00127DCF" w:rsidP="00A63EC6">
      <w:pPr>
        <w:pBdr>
          <w:bottom w:val="single" w:sz="4" w:space="1" w:color="auto"/>
        </w:pBdr>
        <w:tabs>
          <w:tab w:val="right" w:pos="9639"/>
        </w:tabs>
        <w:rPr>
          <w:rFonts w:ascii="Calibri" w:hAnsi="Calibri" w:cs="Calibri"/>
          <w:bCs/>
          <w:lang w:val="en-US"/>
        </w:rPr>
      </w:pPr>
      <w:r>
        <w:rPr>
          <w:rFonts w:ascii="Calibri" w:hAnsi="Calibri" w:cs="Calibri"/>
          <w:b/>
          <w:lang w:val="en-US"/>
        </w:rPr>
        <w:t>New Delhi, India</w:t>
      </w:r>
      <w:r w:rsidR="00A63EC6" w:rsidRPr="00BA3ED2">
        <w:rPr>
          <w:rFonts w:ascii="Calibri" w:hAnsi="Calibri" w:cs="Calibri"/>
          <w:b/>
          <w:bCs/>
          <w:lang w:val="en-US"/>
        </w:rPr>
        <w:tab/>
      </w:r>
      <w:r w:rsidR="00A63EC6" w:rsidRPr="00F426F0">
        <w:rPr>
          <w:rFonts w:ascii="Calibri" w:hAnsi="Calibri" w:cs="Calibri"/>
          <w:b/>
          <w:bCs/>
          <w:lang w:val="en-US"/>
        </w:rPr>
        <w:t>Agenda Item</w:t>
      </w:r>
      <w:r w:rsidR="00EB7657">
        <w:rPr>
          <w:rFonts w:ascii="Calibri" w:hAnsi="Calibri" w:cs="Calibri"/>
          <w:b/>
          <w:bCs/>
          <w:lang w:val="en-US"/>
        </w:rPr>
        <w:t>s 4,</w:t>
      </w:r>
      <w:r w:rsidR="00E27527" w:rsidRPr="00F426F0">
        <w:rPr>
          <w:rFonts w:ascii="Calibri" w:hAnsi="Calibri" w:cs="Calibri"/>
          <w:b/>
          <w:bCs/>
          <w:lang w:val="en-US"/>
        </w:rPr>
        <w:t xml:space="preserve"> </w:t>
      </w:r>
      <w:r w:rsidR="00EB7657">
        <w:rPr>
          <w:rFonts w:ascii="Calibri" w:hAnsi="Calibri" w:cs="Calibri"/>
          <w:b/>
          <w:bCs/>
          <w:lang w:val="en-US"/>
        </w:rPr>
        <w:t>9.1</w:t>
      </w:r>
    </w:p>
    <w:p w14:paraId="3E9F3A2B" w14:textId="7C14938C" w:rsidR="00A63EC6" w:rsidRPr="00BA3ED2" w:rsidRDefault="00127DCF" w:rsidP="00A63EC6">
      <w:pPr>
        <w:pBdr>
          <w:bottom w:val="single" w:sz="4" w:space="1" w:color="auto"/>
        </w:pBdr>
        <w:tabs>
          <w:tab w:val="right" w:pos="9639"/>
        </w:tabs>
        <w:rPr>
          <w:rFonts w:ascii="Calibri" w:hAnsi="Calibri" w:cs="Calibri"/>
          <w:b/>
          <w:lang w:val="en-US"/>
        </w:rPr>
      </w:pPr>
      <w:r>
        <w:rPr>
          <w:rFonts w:ascii="Calibri" w:hAnsi="Calibri" w:cs="Calibri"/>
          <w:b/>
          <w:bCs/>
          <w:lang w:val="en-US"/>
        </w:rPr>
        <w:t>May 6</w:t>
      </w:r>
      <w:r w:rsidRPr="00127DCF">
        <w:rPr>
          <w:rFonts w:ascii="Calibri" w:hAnsi="Calibri" w:cs="Calibri"/>
          <w:b/>
          <w:bCs/>
          <w:vertAlign w:val="superscript"/>
          <w:lang w:val="en-US"/>
        </w:rPr>
        <w:t>th</w:t>
      </w:r>
      <w:r>
        <w:rPr>
          <w:rFonts w:ascii="Calibri" w:hAnsi="Calibri" w:cs="Calibri"/>
          <w:b/>
          <w:bCs/>
          <w:lang w:val="en-US"/>
        </w:rPr>
        <w:t xml:space="preserve"> – 10</w:t>
      </w:r>
      <w:r w:rsidRPr="00127DCF">
        <w:rPr>
          <w:rFonts w:ascii="Calibri" w:hAnsi="Calibri" w:cs="Calibri"/>
          <w:b/>
          <w:bCs/>
          <w:vertAlign w:val="superscript"/>
          <w:lang w:val="en-US"/>
        </w:rPr>
        <w:t>th</w:t>
      </w:r>
      <w:r>
        <w:rPr>
          <w:rFonts w:ascii="Calibri" w:hAnsi="Calibri" w:cs="Calibri"/>
          <w:b/>
          <w:bCs/>
          <w:lang w:val="en-US"/>
        </w:rPr>
        <w:t>, 2013</w:t>
      </w:r>
    </w:p>
    <w:p w14:paraId="7D87464E" w14:textId="77777777" w:rsidR="00A63EC6" w:rsidRPr="00BA3ED2" w:rsidRDefault="00A63EC6" w:rsidP="00A63EC6">
      <w:pPr>
        <w:pBdr>
          <w:bottom w:val="single" w:sz="4" w:space="1" w:color="auto"/>
        </w:pBdr>
        <w:tabs>
          <w:tab w:val="right" w:pos="9639"/>
        </w:tabs>
        <w:rPr>
          <w:rFonts w:ascii="Calibri" w:hAnsi="Calibri" w:cs="Calibri"/>
          <w:b/>
          <w:lang w:val="en-US"/>
        </w:rPr>
      </w:pPr>
    </w:p>
    <w:p w14:paraId="49A11180" w14:textId="77777777" w:rsidR="00A63EC6" w:rsidRPr="00BA3ED2" w:rsidRDefault="00A63EC6" w:rsidP="00A63EC6">
      <w:pPr>
        <w:pBdr>
          <w:bottom w:val="single" w:sz="4" w:space="1" w:color="auto"/>
        </w:pBdr>
        <w:tabs>
          <w:tab w:val="left" w:pos="993"/>
          <w:tab w:val="right" w:pos="9639"/>
        </w:tabs>
        <w:spacing w:after="600"/>
        <w:rPr>
          <w:rFonts w:ascii="Calibri" w:hAnsi="Calibri" w:cs="Calibri"/>
          <w:b/>
          <w:lang w:val="en-US"/>
        </w:rPr>
      </w:pPr>
      <w:r w:rsidRPr="00BA3ED2">
        <w:rPr>
          <w:rFonts w:ascii="Calibri" w:hAnsi="Calibri" w:cs="Calibri"/>
          <w:b/>
          <w:bCs/>
          <w:lang w:val="en-US"/>
        </w:rPr>
        <w:t>Source: Renesas Mobile Europe Ltd</w:t>
      </w:r>
    </w:p>
    <w:p w14:paraId="503A5D14" w14:textId="4BD8F8E7" w:rsidR="002C5BD5" w:rsidRPr="00BA3ED2" w:rsidRDefault="00942548" w:rsidP="002C5BD5">
      <w:pPr>
        <w:pStyle w:val="Title"/>
        <w:rPr>
          <w:rFonts w:ascii="Calibri" w:hAnsi="Calibri" w:cs="Calibri"/>
          <w:lang w:val="en-US"/>
        </w:rPr>
      </w:pPr>
      <w:r>
        <w:rPr>
          <w:rFonts w:ascii="Calibri" w:hAnsi="Calibri" w:cs="Calibri"/>
          <w:lang w:val="en-US"/>
        </w:rPr>
        <w:t>HPLMN Selection in Network Sharing</w:t>
      </w:r>
    </w:p>
    <w:p w14:paraId="1C9570D7" w14:textId="77777777" w:rsidR="004671A1" w:rsidRPr="00BA3ED2" w:rsidRDefault="004671A1" w:rsidP="004671A1">
      <w:pPr>
        <w:rPr>
          <w:rFonts w:ascii="Calibri" w:hAnsi="Calibri" w:cs="Calibri"/>
          <w:lang w:val="en-US"/>
        </w:rPr>
      </w:pPr>
    </w:p>
    <w:p w14:paraId="6576D96B" w14:textId="107D92D9" w:rsidR="004671A1" w:rsidRPr="00BA3ED2" w:rsidRDefault="004671A1" w:rsidP="004671A1">
      <w:pPr>
        <w:pStyle w:val="Heading1"/>
        <w:rPr>
          <w:rFonts w:ascii="Calibri" w:hAnsi="Calibri" w:cs="Calibri"/>
          <w:lang w:val="en-US"/>
        </w:rPr>
      </w:pPr>
      <w:r w:rsidRPr="00BA3ED2">
        <w:rPr>
          <w:rFonts w:ascii="Calibri" w:hAnsi="Calibri" w:cs="Calibri"/>
          <w:lang w:val="en-US"/>
        </w:rPr>
        <w:t>Introduction</w:t>
      </w:r>
    </w:p>
    <w:p w14:paraId="34DADB5B" w14:textId="0E2C351D" w:rsidR="00BA3ED2" w:rsidRDefault="00160357" w:rsidP="004671A1">
      <w:pPr>
        <w:pStyle w:val="11BodyText"/>
        <w:rPr>
          <w:rFonts w:ascii="Calibri" w:hAnsi="Calibri" w:cs="Calibri"/>
        </w:rPr>
      </w:pPr>
      <w:r>
        <w:rPr>
          <w:rFonts w:ascii="Calibri" w:hAnsi="Calibri" w:cs="Calibri"/>
        </w:rPr>
        <w:t>This paper discusses the incoming LS from CT1</w:t>
      </w:r>
      <w:r w:rsidR="00676CB9">
        <w:rPr>
          <w:rFonts w:ascii="Calibri" w:hAnsi="Calibri" w:cs="Calibri"/>
        </w:rPr>
        <w:t xml:space="preserve"> </w:t>
      </w:r>
      <w:r w:rsidR="00676CB9">
        <w:rPr>
          <w:rFonts w:ascii="Calibri" w:hAnsi="Calibri" w:cs="Calibri"/>
        </w:rPr>
        <w:fldChar w:fldCharType="begin"/>
      </w:r>
      <w:r w:rsidR="00676CB9">
        <w:rPr>
          <w:rFonts w:ascii="Calibri" w:hAnsi="Calibri" w:cs="Calibri"/>
        </w:rPr>
        <w:instrText xml:space="preserve"> REF _Ref354579893 \r \h </w:instrText>
      </w:r>
      <w:r w:rsidR="00676CB9">
        <w:rPr>
          <w:rFonts w:ascii="Calibri" w:hAnsi="Calibri" w:cs="Calibri"/>
        </w:rPr>
      </w:r>
      <w:r w:rsidR="00676CB9">
        <w:rPr>
          <w:rFonts w:ascii="Calibri" w:hAnsi="Calibri" w:cs="Calibri"/>
        </w:rPr>
        <w:fldChar w:fldCharType="separate"/>
      </w:r>
      <w:r w:rsidR="00676CB9">
        <w:rPr>
          <w:rFonts w:ascii="Calibri" w:hAnsi="Calibri" w:cs="Calibri"/>
        </w:rPr>
        <w:t>[1]</w:t>
      </w:r>
      <w:r w:rsidR="00676CB9">
        <w:rPr>
          <w:rFonts w:ascii="Calibri" w:hAnsi="Calibri" w:cs="Calibri"/>
        </w:rPr>
        <w:fldChar w:fldCharType="end"/>
      </w:r>
      <w:r>
        <w:rPr>
          <w:rFonts w:ascii="Calibri" w:hAnsi="Calibri" w:cs="Calibri"/>
        </w:rPr>
        <w:t xml:space="preserve"> on HPLMN selection in network sharing, received as a result of CT1 </w:t>
      </w:r>
      <w:r w:rsidR="002D544A">
        <w:rPr>
          <w:rFonts w:ascii="Calibri" w:hAnsi="Calibri" w:cs="Calibri"/>
        </w:rPr>
        <w:t>unexpected</w:t>
      </w:r>
      <w:r w:rsidR="00127C79">
        <w:rPr>
          <w:rStyle w:val="FootnoteReference"/>
          <w:rFonts w:ascii="Calibri" w:hAnsi="Calibri" w:cs="Calibri"/>
        </w:rPr>
        <w:footnoteReference w:id="1"/>
      </w:r>
      <w:r w:rsidR="002D544A">
        <w:rPr>
          <w:rFonts w:ascii="Calibri" w:hAnsi="Calibri" w:cs="Calibri"/>
        </w:rPr>
        <w:t xml:space="preserve"> </w:t>
      </w:r>
      <w:r>
        <w:rPr>
          <w:rFonts w:ascii="Calibri" w:hAnsi="Calibri" w:cs="Calibri"/>
        </w:rPr>
        <w:t xml:space="preserve">investigation on SA1’s </w:t>
      </w:r>
      <w:r w:rsidRPr="00160357">
        <w:rPr>
          <w:rFonts w:ascii="Calibri" w:hAnsi="Calibri" w:cs="Calibri"/>
          <w:i/>
        </w:rPr>
        <w:t>draft</w:t>
      </w:r>
      <w:r>
        <w:rPr>
          <w:rFonts w:ascii="Calibri" w:hAnsi="Calibri" w:cs="Calibri"/>
        </w:rPr>
        <w:t xml:space="preserve"> TR 22.852</w:t>
      </w:r>
      <w:r w:rsidR="00676CB9">
        <w:rPr>
          <w:rFonts w:ascii="Calibri" w:hAnsi="Calibri" w:cs="Calibri"/>
        </w:rPr>
        <w:t xml:space="preserve"> v0.4.1 (</w:t>
      </w:r>
      <w:r w:rsidR="00676CB9">
        <w:rPr>
          <w:rFonts w:ascii="Calibri" w:hAnsi="Calibri" w:cs="Calibri"/>
        </w:rPr>
        <w:fldChar w:fldCharType="begin"/>
      </w:r>
      <w:r w:rsidR="00676CB9">
        <w:rPr>
          <w:rFonts w:ascii="Calibri" w:hAnsi="Calibri" w:cs="Calibri"/>
        </w:rPr>
        <w:instrText xml:space="preserve"> REF _Ref354579900 \r \h </w:instrText>
      </w:r>
      <w:r w:rsidR="00676CB9">
        <w:rPr>
          <w:rFonts w:ascii="Calibri" w:hAnsi="Calibri" w:cs="Calibri"/>
        </w:rPr>
      </w:r>
      <w:r w:rsidR="00676CB9">
        <w:rPr>
          <w:rFonts w:ascii="Calibri" w:hAnsi="Calibri" w:cs="Calibri"/>
        </w:rPr>
        <w:fldChar w:fldCharType="separate"/>
      </w:r>
      <w:r w:rsidR="00676CB9">
        <w:rPr>
          <w:rFonts w:ascii="Calibri" w:hAnsi="Calibri" w:cs="Calibri"/>
        </w:rPr>
        <w:t>[2]</w:t>
      </w:r>
      <w:r w:rsidR="00676CB9">
        <w:rPr>
          <w:rFonts w:ascii="Calibri" w:hAnsi="Calibri" w:cs="Calibri"/>
        </w:rPr>
        <w:fldChar w:fldCharType="end"/>
      </w:r>
      <w:r w:rsidR="00676CB9">
        <w:rPr>
          <w:rFonts w:ascii="Calibri" w:hAnsi="Calibri" w:cs="Calibri"/>
        </w:rPr>
        <w:t xml:space="preserve"> contains the latest version)</w:t>
      </w:r>
      <w:r>
        <w:rPr>
          <w:rFonts w:ascii="Calibri" w:hAnsi="Calibri" w:cs="Calibri"/>
        </w:rPr>
        <w:t xml:space="preserve">, specifically on the </w:t>
      </w:r>
      <w:r w:rsidRPr="00127C79">
        <w:rPr>
          <w:rFonts w:ascii="Calibri" w:hAnsi="Calibri" w:cs="Calibri"/>
          <w:i/>
        </w:rPr>
        <w:t>draft</w:t>
      </w:r>
      <w:r>
        <w:rPr>
          <w:rFonts w:ascii="Calibri" w:hAnsi="Calibri" w:cs="Calibri"/>
        </w:rPr>
        <w:t xml:space="preserve"> potential requirements for use case 12 “PLMN selection enhancements towards a shared RAN”:</w:t>
      </w:r>
      <w:r w:rsidR="00676CB9">
        <w:rPr>
          <w:rFonts w:ascii="Calibri" w:hAnsi="Calibri" w:cs="Calibri"/>
        </w:rPr>
        <w:t xml:space="preserve"> </w:t>
      </w:r>
    </w:p>
    <w:p w14:paraId="73BC51DD" w14:textId="77777777" w:rsidR="00160357" w:rsidRPr="00160357" w:rsidRDefault="00160357" w:rsidP="00160357">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160357">
        <w:rPr>
          <w:rFonts w:ascii="Times New Roman" w:hAnsi="Times New Roman"/>
        </w:rPr>
        <w:t>Upon the operator’s policy, the UE shall be able to reselect to its HPLMN when moving towards a shared RAN where at least one participating operator is UE’s Home operator, even though the old registered PLMN is still available.</w:t>
      </w:r>
    </w:p>
    <w:p w14:paraId="1A9D8D4A" w14:textId="77777777" w:rsidR="00160357" w:rsidRPr="00160357" w:rsidRDefault="00160357" w:rsidP="00160357">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160357">
        <w:rPr>
          <w:rFonts w:ascii="Times New Roman" w:hAnsi="Times New Roman"/>
        </w:rPr>
        <w:t xml:space="preserve">Note 1: this is applied if and only if the UE is in automatic network selection mode. </w:t>
      </w:r>
    </w:p>
    <w:p w14:paraId="2942090E" w14:textId="77777777" w:rsidR="00160357" w:rsidRPr="00160357" w:rsidRDefault="00160357" w:rsidP="00160357">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160357">
        <w:rPr>
          <w:rFonts w:ascii="Times New Roman" w:hAnsi="Times New Roman"/>
        </w:rPr>
        <w:t xml:space="preserve">Note2: This requirement should be handled in other groups (CT1, …) taking into account: </w:t>
      </w:r>
    </w:p>
    <w:p w14:paraId="65622843" w14:textId="5E6895FE" w:rsidR="00160357" w:rsidRPr="00160357" w:rsidRDefault="00160357" w:rsidP="00160357">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Pr>
          <w:rFonts w:ascii="Times New Roman" w:hAnsi="Times New Roman"/>
        </w:rPr>
        <w:tab/>
      </w:r>
      <w:r>
        <w:rPr>
          <w:rFonts w:ascii="Times New Roman" w:hAnsi="Times New Roman"/>
        </w:rPr>
        <w:tab/>
        <w:t xml:space="preserve">- </w:t>
      </w:r>
      <w:r w:rsidRPr="00160357">
        <w:rPr>
          <w:rFonts w:ascii="Times New Roman" w:hAnsi="Times New Roman"/>
        </w:rPr>
        <w:t xml:space="preserve">Should be option of HPLMN </w:t>
      </w:r>
    </w:p>
    <w:p w14:paraId="01AF8BCD" w14:textId="6D4F16F3" w:rsidR="00160357" w:rsidRPr="00160357" w:rsidRDefault="00160357" w:rsidP="00160357">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Pr>
          <w:rFonts w:ascii="Times New Roman" w:hAnsi="Times New Roman"/>
        </w:rPr>
        <w:tab/>
      </w:r>
      <w:r>
        <w:rPr>
          <w:rFonts w:ascii="Times New Roman" w:hAnsi="Times New Roman"/>
        </w:rPr>
        <w:tab/>
        <w:t xml:space="preserve">- </w:t>
      </w:r>
      <w:r w:rsidRPr="00160357">
        <w:rPr>
          <w:rFonts w:ascii="Times New Roman" w:hAnsi="Times New Roman"/>
        </w:rPr>
        <w:t>Need to address EHPLMNs</w:t>
      </w:r>
    </w:p>
    <w:p w14:paraId="4692FBCF" w14:textId="0E3054C7" w:rsidR="00160357" w:rsidRPr="00160357" w:rsidRDefault="00160357" w:rsidP="00160357">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Pr>
          <w:rFonts w:ascii="Times New Roman" w:hAnsi="Times New Roman"/>
        </w:rPr>
        <w:tab/>
      </w:r>
      <w:r>
        <w:rPr>
          <w:rFonts w:ascii="Times New Roman" w:hAnsi="Times New Roman"/>
        </w:rPr>
        <w:tab/>
        <w:t xml:space="preserve">- </w:t>
      </w:r>
      <w:r w:rsidRPr="00160357">
        <w:rPr>
          <w:rFonts w:ascii="Times New Roman" w:hAnsi="Times New Roman"/>
        </w:rPr>
        <w:t xml:space="preserve">Default is Rel-6 behaviour for GERAN and UTRAN UEs (keep current registration) </w:t>
      </w:r>
    </w:p>
    <w:p w14:paraId="571C94D8" w14:textId="0FD300DB" w:rsidR="00160357" w:rsidRPr="00160357" w:rsidRDefault="00160357" w:rsidP="00160357">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160357">
        <w:rPr>
          <w:rFonts w:ascii="Times New Roman" w:hAnsi="Times New Roman"/>
        </w:rPr>
        <w:t>Note 3: This use case exceeds the current scope of RSE since PLMN selection would involve GERAN and UTRAN too.</w:t>
      </w:r>
    </w:p>
    <w:p w14:paraId="17FF6479" w14:textId="5762DE2D" w:rsidR="00676CB9" w:rsidRDefault="00676CB9" w:rsidP="00676CB9">
      <w:pPr>
        <w:pStyle w:val="11BodyText"/>
        <w:rPr>
          <w:rFonts w:ascii="Calibri" w:hAnsi="Calibri" w:cs="Calibri"/>
        </w:rPr>
      </w:pPr>
      <w:bookmarkStart w:id="0" w:name="_Ref349381388"/>
      <w:r>
        <w:rPr>
          <w:rFonts w:ascii="Calibri" w:hAnsi="Calibri" w:cs="Calibri"/>
        </w:rPr>
        <w:t xml:space="preserve">CT1 asks the following questions: </w:t>
      </w:r>
    </w:p>
    <w:p w14:paraId="24A1345F" w14:textId="093A5047" w:rsidR="00676CB9" w:rsidRDefault="00676CB9" w:rsidP="00676CB9">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Calibri" w:hAnsi="Calibri" w:cs="Calibri"/>
        </w:rPr>
      </w:pPr>
      <w:r w:rsidRPr="00676CB9">
        <w:rPr>
          <w:rFonts w:ascii="Calibri" w:hAnsi="Calibri" w:cs="Calibri"/>
        </w:rPr>
        <w:t>Since 3GPP TS is following the normative requirements in TS 22.011 which has not been updated yet, CT1 would like to ask SA1 for guidance on the requirements, i.e. to understand whether SA1 will provide this new normative requirement in stage 1 specification or whether SA1 considers that it is within the responsibility of CT1 to discuss this new requirement in stage 2 as CT1 already done for the PLMN selection in a shared network.</w:t>
      </w:r>
    </w:p>
    <w:p w14:paraId="0E5EDE6C" w14:textId="48720DB2" w:rsidR="00676CB9" w:rsidRDefault="00676CB9" w:rsidP="00676CB9">
      <w:pPr>
        <w:pStyle w:val="11BodyText"/>
        <w:rPr>
          <w:rFonts w:ascii="Calibri" w:hAnsi="Calibri" w:cs="Calibri"/>
        </w:rPr>
      </w:pPr>
      <w:r>
        <w:rPr>
          <w:rFonts w:ascii="Calibri" w:hAnsi="Calibri" w:cs="Calibri"/>
        </w:rPr>
        <w:t>This contribution discusses the above i.e. the scenario with its associated proposed requirement as well as the responsibility of SA1, and suggests a way forward such that a response can be sent back to CT1.</w:t>
      </w:r>
    </w:p>
    <w:p w14:paraId="610B90B5" w14:textId="451F8C5E" w:rsidR="00676CB9" w:rsidRDefault="00676CB9" w:rsidP="004671A1">
      <w:pPr>
        <w:pStyle w:val="Heading1"/>
        <w:rPr>
          <w:rFonts w:ascii="Calibri" w:hAnsi="Calibri" w:cs="Calibri"/>
        </w:rPr>
      </w:pPr>
      <w:r>
        <w:rPr>
          <w:rFonts w:ascii="Calibri" w:hAnsi="Calibri" w:cs="Calibri"/>
        </w:rPr>
        <w:t>Discussion</w:t>
      </w:r>
    </w:p>
    <w:p w14:paraId="448D0B35" w14:textId="232211E0" w:rsidR="000C4F35" w:rsidRDefault="000C4F35" w:rsidP="000C4F35">
      <w:pPr>
        <w:pStyle w:val="11BodyText"/>
        <w:rPr>
          <w:rFonts w:ascii="Calibri" w:hAnsi="Calibri" w:cs="Calibri"/>
        </w:rPr>
      </w:pPr>
      <w:r>
        <w:rPr>
          <w:rFonts w:ascii="Calibri" w:hAnsi="Calibri" w:cs="Calibri"/>
        </w:rPr>
        <w:t>3GPP TS 22.011 does address network sharing within the scope of PLMN selection with</w:t>
      </w:r>
      <w:r w:rsidR="00127DCF">
        <w:rPr>
          <w:rFonts w:ascii="Calibri" w:hAnsi="Calibri" w:cs="Calibri"/>
        </w:rPr>
        <w:t xml:space="preserve"> a very simple requirement, quoted below</w:t>
      </w:r>
      <w:r>
        <w:rPr>
          <w:rFonts w:ascii="Calibri" w:hAnsi="Calibri" w:cs="Calibri"/>
        </w:rPr>
        <w:t xml:space="preserve"> (red emphasis from the author)</w:t>
      </w:r>
      <w:r w:rsidR="00127DCF">
        <w:rPr>
          <w:rFonts w:ascii="Calibri" w:hAnsi="Calibri" w:cs="Calibri"/>
        </w:rPr>
        <w:t xml:space="preserve"> from §3.2.1</w:t>
      </w:r>
      <w:r>
        <w:rPr>
          <w:rFonts w:ascii="Calibri" w:hAnsi="Calibri" w:cs="Calibri"/>
        </w:rPr>
        <w:t xml:space="preserve">: </w:t>
      </w:r>
    </w:p>
    <w:p w14:paraId="5E5F26C0" w14:textId="796D575E" w:rsidR="000C4F35" w:rsidRPr="000C4F35" w:rsidRDefault="000C4F35" w:rsidP="000C4F35">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0C4F35">
        <w:rPr>
          <w:rFonts w:ascii="Times New Roman" w:hAnsi="Times New Roman"/>
        </w:rPr>
        <w:t xml:space="preserve">In shared networks a radio access network can be part of more than one PLMN. This shall be transparent to the user, i.e. the UE shall be able to indicate those PLMNs to the user, and the UE shall support network selection among those PLMNs, </w:t>
      </w:r>
      <w:r w:rsidRPr="000C4F35">
        <w:rPr>
          <w:rFonts w:ascii="Times New Roman" w:hAnsi="Times New Roman"/>
          <w:color w:val="FF0000"/>
        </w:rPr>
        <w:t>as in non-shared networks</w:t>
      </w:r>
      <w:r w:rsidRPr="000C4F35">
        <w:rPr>
          <w:rFonts w:ascii="Times New Roman" w:hAnsi="Times New Roman"/>
        </w:rPr>
        <w:t>.</w:t>
      </w:r>
    </w:p>
    <w:p w14:paraId="73257C38" w14:textId="77777777" w:rsidR="00127DCF" w:rsidRDefault="00145063" w:rsidP="00676CB9">
      <w:pPr>
        <w:pStyle w:val="11BodyText"/>
        <w:rPr>
          <w:rFonts w:asciiTheme="majorHAnsi" w:hAnsiTheme="majorHAnsi" w:cstheme="majorHAnsi"/>
        </w:rPr>
      </w:pPr>
      <w:r>
        <w:rPr>
          <w:rFonts w:asciiTheme="majorHAnsi" w:hAnsiTheme="majorHAnsi" w:cstheme="majorHAnsi"/>
        </w:rPr>
        <w:t>As currently required by Stage 1, PLMN selectio</w:t>
      </w:r>
      <w:r w:rsidR="002D544A">
        <w:rPr>
          <w:rFonts w:asciiTheme="majorHAnsi" w:hAnsiTheme="majorHAnsi" w:cstheme="majorHAnsi"/>
        </w:rPr>
        <w:t xml:space="preserve">n in case of network sharing is as in non-shared networks. </w:t>
      </w:r>
      <w:r w:rsidR="00127DCF">
        <w:rPr>
          <w:rFonts w:asciiTheme="majorHAnsi" w:hAnsiTheme="majorHAnsi" w:cstheme="majorHAnsi"/>
        </w:rPr>
        <w:t xml:space="preserve">CT1 has specified PLMN selection in network sharing with this in mind. </w:t>
      </w:r>
    </w:p>
    <w:p w14:paraId="2A3771E3" w14:textId="526EF8E7" w:rsidR="00145063" w:rsidRDefault="00127DCF" w:rsidP="00676CB9">
      <w:pPr>
        <w:pStyle w:val="11BodyText"/>
        <w:rPr>
          <w:rFonts w:asciiTheme="majorHAnsi" w:hAnsiTheme="majorHAnsi" w:cstheme="majorHAnsi"/>
        </w:rPr>
      </w:pPr>
      <w:r>
        <w:rPr>
          <w:rFonts w:asciiTheme="majorHAnsi" w:hAnsiTheme="majorHAnsi" w:cstheme="majorHAnsi"/>
        </w:rPr>
        <w:lastRenderedPageBreak/>
        <w:t xml:space="preserve">Should SA1 conclude that </w:t>
      </w:r>
      <w:r w:rsidR="00A46B0E">
        <w:rPr>
          <w:rFonts w:asciiTheme="majorHAnsi" w:hAnsiTheme="majorHAnsi" w:cstheme="majorHAnsi"/>
        </w:rPr>
        <w:t xml:space="preserve">this Stage 1 would no longer necessarily apply, then the corresponding requirement must be defined in Stage 1 (not excluding the rest being defined in CT1 of course). </w:t>
      </w:r>
      <w:r>
        <w:rPr>
          <w:rFonts w:asciiTheme="majorHAnsi" w:hAnsiTheme="majorHAnsi" w:cstheme="majorHAnsi"/>
        </w:rPr>
        <w:t>We consider this effort to be part of the normative work for the follow-up WID on RAN Sharing Enhancements.</w:t>
      </w:r>
    </w:p>
    <w:p w14:paraId="064FAA96" w14:textId="6AEA31D8" w:rsidR="00A46B0E" w:rsidRDefault="00A46B0E" w:rsidP="00676CB9">
      <w:pPr>
        <w:pStyle w:val="11BodyText"/>
        <w:rPr>
          <w:rFonts w:asciiTheme="majorHAnsi" w:hAnsiTheme="majorHAnsi" w:cstheme="majorHAnsi"/>
        </w:rPr>
      </w:pPr>
      <w:r>
        <w:rPr>
          <w:rFonts w:asciiTheme="majorHAnsi" w:hAnsiTheme="majorHAnsi" w:cstheme="majorHAnsi"/>
        </w:rPr>
        <w:t>While TR22.852does not exclude SA1 work on the Use Case 12 requirement, we believe it might have been interpreted otherwise. Thus we would request to modify Note 2 as follows, or along those lines:</w:t>
      </w:r>
    </w:p>
    <w:p w14:paraId="27A151DA" w14:textId="77777777" w:rsidR="00A46B0E" w:rsidRPr="00A46B0E" w:rsidRDefault="00A46B0E" w:rsidP="00A46B0E">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A46B0E">
        <w:rPr>
          <w:rFonts w:ascii="Times New Roman" w:hAnsi="Times New Roman"/>
        </w:rPr>
        <w:t>Upon the operator’s policy, the UE shall be able to reselect to its HPLMN when moving towards a shared RAN where at least one participating operator is UE’s Home operator, even though the old registered PLMN is still available.</w:t>
      </w:r>
    </w:p>
    <w:p w14:paraId="72CDDF99" w14:textId="77777777" w:rsidR="00A46B0E" w:rsidRPr="00A46B0E" w:rsidRDefault="00A46B0E" w:rsidP="00A46B0E">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A46B0E">
        <w:rPr>
          <w:rFonts w:ascii="Times New Roman" w:hAnsi="Times New Roman"/>
        </w:rPr>
        <w:t xml:space="preserve">Note 1: this is applied if and only if the UE is in automatic network selection mode. </w:t>
      </w:r>
    </w:p>
    <w:p w14:paraId="5F07F4C1" w14:textId="0F0635C4" w:rsidR="00A46B0E" w:rsidRPr="00A46B0E" w:rsidRDefault="00A46B0E" w:rsidP="00A46B0E">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A46B0E">
        <w:rPr>
          <w:rFonts w:ascii="Times New Roman" w:hAnsi="Times New Roman"/>
        </w:rPr>
        <w:t xml:space="preserve">Note2: </w:t>
      </w:r>
      <w:r w:rsidRPr="00A46B0E">
        <w:rPr>
          <w:rFonts w:ascii="Times New Roman" w:hAnsi="Times New Roman"/>
          <w:color w:val="FF0000"/>
          <w:u w:val="single"/>
        </w:rPr>
        <w:t>An update of the requirement in 22.011 “In shared networks a radio access network can be part of more than one PLMN. This shall be transparent to the user, i.e. the UE shall be able to indicate those PLMNs to the user, and the UE shall support network selection among those PLMNs, as in non-shared networks.” would be necessary to reflect the above.</w:t>
      </w:r>
      <w:r w:rsidRPr="00A46B0E">
        <w:rPr>
          <w:rFonts w:ascii="Times New Roman" w:hAnsi="Times New Roman"/>
          <w:color w:val="FF0000"/>
        </w:rPr>
        <w:t xml:space="preserve"> </w:t>
      </w:r>
      <w:r w:rsidRPr="00A46B0E">
        <w:rPr>
          <w:rFonts w:ascii="Times New Roman" w:hAnsi="Times New Roman"/>
        </w:rPr>
        <w:t xml:space="preserve">This requirement should </w:t>
      </w:r>
      <w:r w:rsidRPr="00A46B0E">
        <w:rPr>
          <w:rFonts w:ascii="Times New Roman" w:hAnsi="Times New Roman"/>
          <w:color w:val="FF0000"/>
          <w:u w:val="single"/>
        </w:rPr>
        <w:t xml:space="preserve">also </w:t>
      </w:r>
      <w:r w:rsidRPr="00A46B0E">
        <w:rPr>
          <w:rFonts w:ascii="Times New Roman" w:hAnsi="Times New Roman"/>
        </w:rPr>
        <w:t xml:space="preserve">be handled in other groups (CT1, …) taking into account: </w:t>
      </w:r>
    </w:p>
    <w:p w14:paraId="4F4579D6" w14:textId="77777777" w:rsidR="00A46B0E" w:rsidRPr="00A46B0E" w:rsidRDefault="00A46B0E" w:rsidP="00A46B0E">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A46B0E">
        <w:rPr>
          <w:rFonts w:ascii="Times New Roman" w:hAnsi="Times New Roman"/>
        </w:rPr>
        <w:tab/>
      </w:r>
      <w:r w:rsidRPr="00A46B0E">
        <w:rPr>
          <w:rFonts w:ascii="Times New Roman" w:hAnsi="Times New Roman"/>
        </w:rPr>
        <w:tab/>
        <w:t xml:space="preserve">- Should be option of HPLMN </w:t>
      </w:r>
    </w:p>
    <w:p w14:paraId="375FEBE5" w14:textId="77777777" w:rsidR="00A46B0E" w:rsidRPr="00A46B0E" w:rsidRDefault="00A46B0E" w:rsidP="00A46B0E">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A46B0E">
        <w:rPr>
          <w:rFonts w:ascii="Times New Roman" w:hAnsi="Times New Roman"/>
        </w:rPr>
        <w:tab/>
      </w:r>
      <w:r w:rsidRPr="00A46B0E">
        <w:rPr>
          <w:rFonts w:ascii="Times New Roman" w:hAnsi="Times New Roman"/>
        </w:rPr>
        <w:tab/>
        <w:t>- Need to address EHPLMNs</w:t>
      </w:r>
    </w:p>
    <w:p w14:paraId="75E99245" w14:textId="77777777" w:rsidR="00A46B0E" w:rsidRPr="00A46B0E" w:rsidRDefault="00A46B0E" w:rsidP="00A46B0E">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A46B0E">
        <w:rPr>
          <w:rFonts w:ascii="Times New Roman" w:hAnsi="Times New Roman"/>
        </w:rPr>
        <w:tab/>
      </w:r>
      <w:r w:rsidRPr="00A46B0E">
        <w:rPr>
          <w:rFonts w:ascii="Times New Roman" w:hAnsi="Times New Roman"/>
        </w:rPr>
        <w:tab/>
        <w:t xml:space="preserve">- Default is Rel-6 behaviour for GERAN and UTRAN UEs (keep current registration) </w:t>
      </w:r>
    </w:p>
    <w:p w14:paraId="184CE82F" w14:textId="1C9D585B" w:rsidR="00A46B0E" w:rsidRPr="00A46B0E" w:rsidRDefault="00A46B0E" w:rsidP="00A46B0E">
      <w:pPr>
        <w:pStyle w:val="11BodyText"/>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rPr>
      </w:pPr>
      <w:r w:rsidRPr="00A46B0E">
        <w:rPr>
          <w:rFonts w:ascii="Times New Roman" w:hAnsi="Times New Roman"/>
        </w:rPr>
        <w:t>Note 3: This use case exceeds the current scope of RSE since PLMN selection would involve GERAN and UTRAN too.</w:t>
      </w:r>
    </w:p>
    <w:p w14:paraId="6CEBCC5D" w14:textId="0407D3F8" w:rsidR="00127DCF" w:rsidRDefault="00127DCF" w:rsidP="00127DCF">
      <w:pPr>
        <w:pStyle w:val="Heading1"/>
        <w:rPr>
          <w:rFonts w:ascii="Calibri" w:hAnsi="Calibri" w:cs="Calibri"/>
        </w:rPr>
      </w:pPr>
      <w:r>
        <w:rPr>
          <w:rFonts w:ascii="Calibri" w:hAnsi="Calibri" w:cs="Calibri"/>
        </w:rPr>
        <w:t>Conclusion and WAY Forward</w:t>
      </w:r>
    </w:p>
    <w:p w14:paraId="6D148927" w14:textId="457E72B2" w:rsidR="00127DCF" w:rsidRDefault="00127DCF" w:rsidP="00676CB9">
      <w:pPr>
        <w:pStyle w:val="11BodyText"/>
        <w:rPr>
          <w:rFonts w:asciiTheme="majorHAnsi" w:hAnsiTheme="majorHAnsi" w:cstheme="majorHAnsi"/>
        </w:rPr>
      </w:pPr>
      <w:r>
        <w:rPr>
          <w:rFonts w:asciiTheme="majorHAnsi" w:hAnsiTheme="majorHAnsi" w:cstheme="majorHAnsi"/>
        </w:rPr>
        <w:t xml:space="preserve">Based on §2 and the incoming LS from CT1, the sourcing company recommends that the following response be sent to CT1, and volunteers to draft a </w:t>
      </w:r>
      <w:r w:rsidR="00EB7657">
        <w:rPr>
          <w:rFonts w:asciiTheme="majorHAnsi" w:hAnsiTheme="majorHAnsi" w:cstheme="majorHAnsi"/>
        </w:rPr>
        <w:t xml:space="preserve">corresponding </w:t>
      </w:r>
      <w:r>
        <w:rPr>
          <w:rFonts w:asciiTheme="majorHAnsi" w:hAnsiTheme="majorHAnsi" w:cstheme="majorHAnsi"/>
        </w:rPr>
        <w:t>LS.</w:t>
      </w:r>
    </w:p>
    <w:p w14:paraId="4A27E09E" w14:textId="47B3F894" w:rsidR="00127DCF" w:rsidRDefault="00127DCF" w:rsidP="00676CB9">
      <w:pPr>
        <w:pStyle w:val="11BodyText"/>
        <w:rPr>
          <w:rFonts w:asciiTheme="majorHAnsi" w:hAnsiTheme="majorHAnsi" w:cstheme="majorHAnsi"/>
        </w:rPr>
      </w:pPr>
      <w:r>
        <w:rPr>
          <w:rFonts w:asciiTheme="majorHAnsi" w:hAnsiTheme="majorHAnsi" w:cstheme="majorHAnsi"/>
        </w:rPr>
        <w:t>As currently specified by 3GPP TS 22.011 in Rel-12 (and earlier releases), a UE shall support network selection, among the PLMNs sharing a radio access network, as in non-shared networks. 3GPP TSG SA1 is currently consolidating the requirements on FS_RSE and expects normative requirements will follow. 3GPP TSG SA1 will keep CT1 informed should a normative requirement be defined allowing reselecting a (E)HPLMN in case of network sharing. This work is expected in Rel-13.</w:t>
      </w:r>
    </w:p>
    <w:bookmarkEnd w:id="0"/>
    <w:p w14:paraId="7F61F2AA" w14:textId="77777777" w:rsidR="00BD0C94" w:rsidRPr="00BD0C94" w:rsidRDefault="00BD0C94" w:rsidP="00BD0C94"/>
    <w:p w14:paraId="299BC818" w14:textId="44A40CC8" w:rsidR="004671A1" w:rsidRPr="00BA3ED2" w:rsidRDefault="004671A1" w:rsidP="004671A1">
      <w:pPr>
        <w:pStyle w:val="Heading1"/>
        <w:rPr>
          <w:rFonts w:ascii="Calibri" w:hAnsi="Calibri" w:cs="Calibri"/>
        </w:rPr>
      </w:pPr>
      <w:r w:rsidRPr="00BA3ED2">
        <w:rPr>
          <w:rFonts w:ascii="Calibri" w:hAnsi="Calibri" w:cs="Calibri"/>
        </w:rPr>
        <w:t>REFERENCES</w:t>
      </w:r>
    </w:p>
    <w:bookmarkStart w:id="1" w:name="_Ref332895674"/>
    <w:bookmarkStart w:id="2" w:name="_Ref349373678"/>
    <w:bookmarkStart w:id="3" w:name="_Ref354579893"/>
    <w:p w14:paraId="1CBFCE2A" w14:textId="43FCB88F" w:rsidR="004671A1" w:rsidRDefault="001D56F5" w:rsidP="00BA3ED2">
      <w:pPr>
        <w:pStyle w:val="11BodyText"/>
        <w:numPr>
          <w:ilvl w:val="0"/>
          <w:numId w:val="12"/>
        </w:numPr>
        <w:rPr>
          <w:rFonts w:ascii="Calibri" w:hAnsi="Calibri" w:cs="Calibri"/>
        </w:rPr>
      </w:pPr>
      <w:r w:rsidRPr="00BA3ED2">
        <w:rPr>
          <w:rFonts w:ascii="Calibri" w:hAnsi="Calibri" w:cs="Calibri"/>
        </w:rPr>
        <w:fldChar w:fldCharType="begin"/>
      </w:r>
      <w:r w:rsidR="00160357">
        <w:rPr>
          <w:rFonts w:ascii="Calibri" w:hAnsi="Calibri" w:cs="Calibri"/>
        </w:rPr>
        <w:instrText>HYPERLINK "http://www.3gpp.org/ftp/tsg_ct/WG1_mm-cc-sm_ex-CN1/TSGC1_82_SanJoseDelCabo/docs/C1-130889.zip"</w:instrText>
      </w:r>
      <w:r w:rsidRPr="00BA3ED2">
        <w:rPr>
          <w:rFonts w:ascii="Calibri" w:hAnsi="Calibri" w:cs="Calibri"/>
        </w:rPr>
        <w:fldChar w:fldCharType="separate"/>
      </w:r>
      <w:r w:rsidR="00160357">
        <w:rPr>
          <w:rStyle w:val="Hyperlink"/>
          <w:rFonts w:ascii="Calibri" w:hAnsi="Calibri" w:cs="Calibri"/>
        </w:rPr>
        <w:t>C1-130889</w:t>
      </w:r>
      <w:r w:rsidRPr="00BA3ED2">
        <w:rPr>
          <w:rFonts w:ascii="Calibri" w:hAnsi="Calibri" w:cs="Calibri"/>
        </w:rPr>
        <w:fldChar w:fldCharType="end"/>
      </w:r>
      <w:r w:rsidRPr="00BA3ED2">
        <w:rPr>
          <w:rFonts w:ascii="Calibri" w:hAnsi="Calibri" w:cs="Calibri"/>
        </w:rPr>
        <w:t xml:space="preserve">, </w:t>
      </w:r>
      <w:bookmarkEnd w:id="1"/>
      <w:bookmarkEnd w:id="2"/>
      <w:r w:rsidR="00160357">
        <w:rPr>
          <w:rFonts w:ascii="Calibri" w:hAnsi="Calibri" w:cs="Calibri"/>
        </w:rPr>
        <w:t>LS on HPLMN selection in network sharing, CT1, CT1#82</w:t>
      </w:r>
      <w:bookmarkEnd w:id="3"/>
    </w:p>
    <w:bookmarkStart w:id="4" w:name="_Ref354579900"/>
    <w:p w14:paraId="7CFD1729" w14:textId="70BA440E" w:rsidR="00160357" w:rsidRDefault="00160357" w:rsidP="00BA3ED2">
      <w:pPr>
        <w:pStyle w:val="11BodyText"/>
        <w:numPr>
          <w:ilvl w:val="0"/>
          <w:numId w:val="12"/>
        </w:numPr>
        <w:rPr>
          <w:rFonts w:ascii="Calibri" w:hAnsi="Calibri" w:cs="Calibri"/>
        </w:rPr>
      </w:pPr>
      <w:r>
        <w:rPr>
          <w:rFonts w:ascii="Calibri" w:hAnsi="Calibri" w:cs="Calibri"/>
        </w:rPr>
        <w:fldChar w:fldCharType="begin"/>
      </w:r>
      <w:r>
        <w:rPr>
          <w:rFonts w:ascii="Calibri" w:hAnsi="Calibri" w:cs="Calibri"/>
        </w:rPr>
        <w:instrText xml:space="preserve"> HYPERLINK "http://www.3gpp.org/ftp/tsg_sa/WG1_Serv/TSGS1_61_Prague/Docs/S1-131132.zip" </w:instrText>
      </w:r>
      <w:r>
        <w:rPr>
          <w:rFonts w:ascii="Calibri" w:hAnsi="Calibri" w:cs="Calibri"/>
        </w:rPr>
        <w:fldChar w:fldCharType="separate"/>
      </w:r>
      <w:r w:rsidRPr="00160357">
        <w:rPr>
          <w:rStyle w:val="Hyperlink"/>
          <w:rFonts w:ascii="Calibri" w:hAnsi="Calibri" w:cs="Calibri"/>
        </w:rPr>
        <w:t>S1-131132</w:t>
      </w:r>
      <w:r>
        <w:rPr>
          <w:rFonts w:ascii="Calibri" w:hAnsi="Calibri" w:cs="Calibri"/>
        </w:rPr>
        <w:fldChar w:fldCharType="end"/>
      </w:r>
      <w:r>
        <w:rPr>
          <w:rFonts w:ascii="Calibri" w:hAnsi="Calibri" w:cs="Calibri"/>
        </w:rPr>
        <w:t>, TR22.852 v1.2.0, Study on RAN Sharing Enhancements, SA1, SA1#61</w:t>
      </w:r>
      <w:bookmarkEnd w:id="4"/>
    </w:p>
    <w:p w14:paraId="24D930E7" w14:textId="1D98B432" w:rsidR="002D544A" w:rsidRDefault="002D544A" w:rsidP="00BA3ED2">
      <w:pPr>
        <w:pStyle w:val="11BodyText"/>
        <w:numPr>
          <w:ilvl w:val="0"/>
          <w:numId w:val="12"/>
        </w:numPr>
        <w:rPr>
          <w:rFonts w:ascii="Calibri" w:hAnsi="Calibri" w:cs="Calibri"/>
        </w:rPr>
      </w:pPr>
      <w:r>
        <w:rPr>
          <w:rFonts w:ascii="Calibri" w:hAnsi="Calibri" w:cs="Calibri"/>
        </w:rPr>
        <w:t>3GPP TS 22.011 v12.0.0</w:t>
      </w:r>
      <w:bookmarkStart w:id="5" w:name="_GoBack"/>
      <w:bookmarkEnd w:id="5"/>
    </w:p>
    <w:p w14:paraId="1B7FCA38" w14:textId="77777777" w:rsidR="004671A1" w:rsidRPr="00BA3ED2" w:rsidRDefault="004671A1" w:rsidP="004671A1">
      <w:pPr>
        <w:pStyle w:val="11BodyText"/>
        <w:rPr>
          <w:rFonts w:ascii="Calibri" w:hAnsi="Calibri" w:cs="Calibri"/>
          <w:lang w:val="en-US"/>
        </w:rPr>
      </w:pPr>
    </w:p>
    <w:p w14:paraId="509050B8" w14:textId="77777777" w:rsidR="004F6644" w:rsidRPr="00BA3ED2" w:rsidRDefault="004F6644" w:rsidP="004F6644">
      <w:pPr>
        <w:rPr>
          <w:rFonts w:ascii="Calibri" w:hAnsi="Calibri" w:cs="Calibri"/>
          <w:lang w:val="en-US"/>
        </w:rPr>
      </w:pPr>
    </w:p>
    <w:p w14:paraId="10F04444" w14:textId="77777777" w:rsidR="00BB6654" w:rsidRPr="00BA3ED2" w:rsidRDefault="00BB6654" w:rsidP="004F6644">
      <w:pPr>
        <w:rPr>
          <w:rFonts w:ascii="Calibri" w:hAnsi="Calibri" w:cs="Calibri"/>
          <w:lang w:val="en-US"/>
        </w:rPr>
      </w:pPr>
    </w:p>
    <w:sectPr w:rsidR="00BB6654" w:rsidRPr="00BA3ED2" w:rsidSect="00A07EFF">
      <w:footerReference w:type="default" r:id="rId9"/>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3767A" w14:textId="77777777" w:rsidR="0031296C" w:rsidRDefault="0031296C">
      <w:r>
        <w:separator/>
      </w:r>
    </w:p>
  </w:endnote>
  <w:endnote w:type="continuationSeparator" w:id="0">
    <w:p w14:paraId="030FD7C6" w14:textId="77777777" w:rsidR="0031296C" w:rsidRDefault="0031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D46CB" w14:textId="6AA881F4" w:rsidR="00160357" w:rsidRPr="0037445C" w:rsidRDefault="00160357" w:rsidP="00A07EFF">
    <w:pPr>
      <w:tabs>
        <w:tab w:val="decimal" w:pos="4820"/>
        <w:tab w:val="right" w:pos="9638"/>
      </w:tabs>
      <w:rPr>
        <w:rFonts w:asciiTheme="majorHAnsi" w:hAnsiTheme="majorHAnsi" w:cstheme="majorHAnsi"/>
        <w:lang w:val="nl-NL"/>
      </w:rPr>
    </w:pPr>
    <w:r w:rsidRPr="0037445C">
      <w:rPr>
        <w:rFonts w:asciiTheme="majorHAnsi" w:hAnsiTheme="majorHAnsi" w:cstheme="majorHAnsi"/>
        <w:sz w:val="14"/>
        <w:szCs w:val="14"/>
        <w:lang w:val="sv-SE"/>
      </w:rPr>
      <w:t xml:space="preserve">3GPP TSG </w:t>
    </w:r>
    <w:r w:rsidR="00580F4A">
      <w:rPr>
        <w:rFonts w:asciiTheme="majorHAnsi" w:hAnsiTheme="majorHAnsi" w:cstheme="majorHAnsi"/>
        <w:sz w:val="14"/>
        <w:szCs w:val="14"/>
        <w:lang w:val="sv-SE"/>
      </w:rPr>
      <w:t>SA1</w:t>
    </w:r>
    <w:r>
      <w:rPr>
        <w:rFonts w:asciiTheme="majorHAnsi" w:hAnsiTheme="majorHAnsi" w:cstheme="majorHAnsi"/>
        <w:sz w:val="14"/>
        <w:szCs w:val="14"/>
        <w:lang w:val="sv-SE"/>
      </w:rPr>
      <w:t>#</w:t>
    </w:r>
    <w:r w:rsidR="00580F4A">
      <w:rPr>
        <w:rFonts w:asciiTheme="majorHAnsi" w:hAnsiTheme="majorHAnsi" w:cstheme="majorHAnsi"/>
        <w:sz w:val="14"/>
        <w:szCs w:val="14"/>
        <w:lang w:val="sv-SE"/>
      </w:rPr>
      <w:t>62</w:t>
    </w:r>
    <w:r w:rsidRPr="0037445C">
      <w:rPr>
        <w:rFonts w:asciiTheme="majorHAnsi" w:hAnsiTheme="majorHAnsi" w:cstheme="majorHAnsi"/>
        <w:sz w:val="14"/>
        <w:szCs w:val="14"/>
        <w:lang w:val="sv-SE"/>
      </w:rPr>
      <w:tab/>
    </w:r>
    <w:r w:rsidR="00580F4A">
      <w:rPr>
        <w:rFonts w:asciiTheme="majorHAnsi" w:hAnsiTheme="majorHAnsi" w:cstheme="majorHAnsi"/>
        <w:sz w:val="14"/>
        <w:szCs w:val="14"/>
        <w:lang w:val="sv-SE"/>
      </w:rPr>
      <w:t>S1</w:t>
    </w:r>
    <w:r>
      <w:rPr>
        <w:rFonts w:asciiTheme="majorHAnsi" w:hAnsiTheme="majorHAnsi" w:cstheme="majorHAnsi"/>
        <w:sz w:val="14"/>
        <w:szCs w:val="14"/>
        <w:lang w:val="sv-SE"/>
      </w:rPr>
      <w:t>-13</w:t>
    </w:r>
    <w:r w:rsidR="00580F4A">
      <w:rPr>
        <w:rFonts w:asciiTheme="majorHAnsi" w:hAnsiTheme="majorHAnsi" w:cstheme="majorHAnsi"/>
        <w:sz w:val="14"/>
        <w:szCs w:val="14"/>
        <w:lang w:val="sv-SE"/>
      </w:rPr>
      <w:t>3044</w:t>
    </w: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31296C">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160357" w:rsidRPr="003C69A3" w:rsidRDefault="00160357">
    <w:pPr>
      <w:rPr>
        <w:lang w:val="sv-SE"/>
      </w:rPr>
    </w:pPr>
  </w:p>
  <w:tbl>
    <w:tblPr>
      <w:tblW w:w="11340" w:type="dxa"/>
      <w:tblLook w:val="0000" w:firstRow="0" w:lastRow="0" w:firstColumn="0" w:lastColumn="0" w:noHBand="0" w:noVBand="0"/>
    </w:tblPr>
    <w:tblGrid>
      <w:gridCol w:w="9639"/>
      <w:gridCol w:w="1701"/>
    </w:tblGrid>
    <w:tr w:rsidR="00160357" w:rsidRPr="00DC08AD" w14:paraId="65C18167" w14:textId="77777777" w:rsidTr="00A07EFF">
      <w:tc>
        <w:tcPr>
          <w:tcW w:w="9639" w:type="dxa"/>
        </w:tcPr>
        <w:p w14:paraId="2992C03B" w14:textId="77777777" w:rsidR="00160357" w:rsidRPr="00C95968" w:rsidRDefault="00160357" w:rsidP="00A07EFF">
          <w:pPr>
            <w:pStyle w:val="Footer"/>
            <w:tabs>
              <w:tab w:val="left" w:pos="4003"/>
              <w:tab w:val="left" w:pos="9356"/>
            </w:tabs>
            <w:rPr>
              <w:lang w:val="sv-SE"/>
            </w:rPr>
          </w:pPr>
          <w:r>
            <w:rPr>
              <w:lang w:val="sv-SE"/>
            </w:rPr>
            <w:t xml:space="preserve">          </w:t>
          </w:r>
        </w:p>
      </w:tc>
      <w:tc>
        <w:tcPr>
          <w:tcW w:w="1701" w:type="dxa"/>
        </w:tcPr>
        <w:p w14:paraId="7DE56E32" w14:textId="77777777" w:rsidR="00160357" w:rsidRPr="00C95968" w:rsidRDefault="00160357" w:rsidP="00A07EFF">
          <w:pPr>
            <w:pStyle w:val="Footer"/>
            <w:tabs>
              <w:tab w:val="left" w:pos="4536"/>
              <w:tab w:val="left" w:pos="9356"/>
            </w:tabs>
            <w:ind w:firstLine="365"/>
            <w:jc w:val="center"/>
            <w:rPr>
              <w:lang w:val="sv-SE"/>
            </w:rPr>
          </w:pPr>
        </w:p>
      </w:tc>
    </w:tr>
  </w:tbl>
  <w:p w14:paraId="4B8E3564" w14:textId="77777777" w:rsidR="00160357" w:rsidRPr="00C95968" w:rsidRDefault="00160357"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1F8E4" w14:textId="77777777" w:rsidR="0031296C" w:rsidRDefault="0031296C">
      <w:r>
        <w:separator/>
      </w:r>
    </w:p>
  </w:footnote>
  <w:footnote w:type="continuationSeparator" w:id="0">
    <w:p w14:paraId="4A56E883" w14:textId="77777777" w:rsidR="0031296C" w:rsidRDefault="0031296C">
      <w:r>
        <w:continuationSeparator/>
      </w:r>
    </w:p>
  </w:footnote>
  <w:footnote w:id="1">
    <w:p w14:paraId="50FE3FD3" w14:textId="47487578" w:rsidR="00127C79" w:rsidRPr="00127C79" w:rsidRDefault="00127C79">
      <w:pPr>
        <w:pStyle w:val="FootnoteText"/>
        <w:rPr>
          <w:rFonts w:asciiTheme="majorHAnsi" w:hAnsiTheme="majorHAnsi" w:cstheme="majorHAnsi"/>
          <w:lang w:val="en-US"/>
        </w:rPr>
      </w:pPr>
      <w:r w:rsidRPr="00127C79">
        <w:rPr>
          <w:rStyle w:val="FootnoteReference"/>
          <w:rFonts w:asciiTheme="majorHAnsi" w:hAnsiTheme="majorHAnsi" w:cstheme="majorHAnsi"/>
        </w:rPr>
        <w:footnoteRef/>
      </w:r>
      <w:r w:rsidRPr="00127C79">
        <w:rPr>
          <w:rFonts w:asciiTheme="majorHAnsi" w:hAnsiTheme="majorHAnsi" w:cstheme="majorHAnsi"/>
        </w:rPr>
        <w:t xml:space="preserve"> </w:t>
      </w:r>
      <w:r w:rsidR="00084EE3">
        <w:rPr>
          <w:rFonts w:asciiTheme="majorHAnsi" w:hAnsiTheme="majorHAnsi" w:cstheme="majorHAnsi"/>
          <w:lang w:val="en-US"/>
        </w:rPr>
        <w:t>The TR is a draft TR; SA1 did not liaise with CT1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2A9128F6"/>
    <w:multiLevelType w:val="hybridMultilevel"/>
    <w:tmpl w:val="5760866C"/>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8">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2">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3">
    <w:nsid w:val="4C5B7A9A"/>
    <w:multiLevelType w:val="singleLevel"/>
    <w:tmpl w:val="0C09000F"/>
    <w:lvl w:ilvl="0">
      <w:start w:val="1"/>
      <w:numFmt w:val="decimal"/>
      <w:lvlText w:val="%1."/>
      <w:lvlJc w:val="left"/>
      <w:pPr>
        <w:tabs>
          <w:tab w:val="num" w:pos="360"/>
        </w:tabs>
        <w:ind w:left="360" w:hanging="360"/>
      </w:pPr>
    </w:lvl>
  </w:abstractNum>
  <w:abstractNum w:abstractNumId="14">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5">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4EA3EDC"/>
    <w:multiLevelType w:val="hybridMultilevel"/>
    <w:tmpl w:val="81A895E6"/>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8">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4"/>
  </w:num>
  <w:num w:numId="3">
    <w:abstractNumId w:val="11"/>
  </w:num>
  <w:num w:numId="4">
    <w:abstractNumId w:val="19"/>
  </w:num>
  <w:num w:numId="5">
    <w:abstractNumId w:val="5"/>
  </w:num>
  <w:num w:numId="6">
    <w:abstractNumId w:val="14"/>
  </w:num>
  <w:num w:numId="7">
    <w:abstractNumId w:val="13"/>
  </w:num>
  <w:num w:numId="8">
    <w:abstractNumId w:val="9"/>
  </w:num>
  <w:num w:numId="9">
    <w:abstractNumId w:val="2"/>
  </w:num>
  <w:num w:numId="10">
    <w:abstractNumId w:val="10"/>
  </w:num>
  <w:num w:numId="11">
    <w:abstractNumId w:val="25"/>
  </w:num>
  <w:num w:numId="12">
    <w:abstractNumId w:val="18"/>
  </w:num>
  <w:num w:numId="13">
    <w:abstractNumId w:val="12"/>
  </w:num>
  <w:num w:numId="14">
    <w:abstractNumId w:val="20"/>
  </w:num>
  <w:num w:numId="15">
    <w:abstractNumId w:val="16"/>
  </w:num>
  <w:num w:numId="16">
    <w:abstractNumId w:val="3"/>
  </w:num>
  <w:num w:numId="17">
    <w:abstractNumId w:val="21"/>
  </w:num>
  <w:num w:numId="18">
    <w:abstractNumId w:val="15"/>
  </w:num>
  <w:num w:numId="19">
    <w:abstractNumId w:val="8"/>
  </w:num>
  <w:num w:numId="20">
    <w:abstractNumId w:val="1"/>
  </w:num>
  <w:num w:numId="21">
    <w:abstractNumId w:val="22"/>
  </w:num>
  <w:num w:numId="22">
    <w:abstractNumId w:val="26"/>
  </w:num>
  <w:num w:numId="23">
    <w:abstractNumId w:val="23"/>
  </w:num>
  <w:num w:numId="24">
    <w:abstractNumId w:val="6"/>
  </w:num>
  <w:num w:numId="25">
    <w:abstractNumId w:val="27"/>
  </w:num>
  <w:num w:numId="26">
    <w:abstractNumId w:val="4"/>
  </w:num>
  <w:num w:numId="27">
    <w:abstractNumId w:val="1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7128F"/>
    <w:rsid w:val="00084EE3"/>
    <w:rsid w:val="00087221"/>
    <w:rsid w:val="00090801"/>
    <w:rsid w:val="000A172D"/>
    <w:rsid w:val="000A4AFC"/>
    <w:rsid w:val="000C4F35"/>
    <w:rsid w:val="000D4D99"/>
    <w:rsid w:val="000E3BDC"/>
    <w:rsid w:val="00107E77"/>
    <w:rsid w:val="001134A0"/>
    <w:rsid w:val="00127C79"/>
    <w:rsid w:val="00127DCF"/>
    <w:rsid w:val="00135729"/>
    <w:rsid w:val="00145063"/>
    <w:rsid w:val="00151B23"/>
    <w:rsid w:val="00160357"/>
    <w:rsid w:val="00162CEB"/>
    <w:rsid w:val="00165286"/>
    <w:rsid w:val="001839F1"/>
    <w:rsid w:val="00196042"/>
    <w:rsid w:val="001A20CE"/>
    <w:rsid w:val="001A3E30"/>
    <w:rsid w:val="001A44BB"/>
    <w:rsid w:val="001B20F1"/>
    <w:rsid w:val="001B3B97"/>
    <w:rsid w:val="001C48C0"/>
    <w:rsid w:val="001D2581"/>
    <w:rsid w:val="001D56F5"/>
    <w:rsid w:val="001F3D74"/>
    <w:rsid w:val="001F4E74"/>
    <w:rsid w:val="001F57F4"/>
    <w:rsid w:val="0022391E"/>
    <w:rsid w:val="00227ADA"/>
    <w:rsid w:val="002334DD"/>
    <w:rsid w:val="0028689E"/>
    <w:rsid w:val="002A08CF"/>
    <w:rsid w:val="002C5BD5"/>
    <w:rsid w:val="002D544A"/>
    <w:rsid w:val="0031296C"/>
    <w:rsid w:val="0031685D"/>
    <w:rsid w:val="00320F06"/>
    <w:rsid w:val="0032406C"/>
    <w:rsid w:val="00345D5A"/>
    <w:rsid w:val="0035109D"/>
    <w:rsid w:val="003628D5"/>
    <w:rsid w:val="0037445C"/>
    <w:rsid w:val="003748AD"/>
    <w:rsid w:val="00377AC0"/>
    <w:rsid w:val="00383C3D"/>
    <w:rsid w:val="00395382"/>
    <w:rsid w:val="003B4A47"/>
    <w:rsid w:val="00404423"/>
    <w:rsid w:val="00423073"/>
    <w:rsid w:val="0044720B"/>
    <w:rsid w:val="0045439F"/>
    <w:rsid w:val="004671A1"/>
    <w:rsid w:val="004727A5"/>
    <w:rsid w:val="00484E39"/>
    <w:rsid w:val="004934F9"/>
    <w:rsid w:val="004C2C22"/>
    <w:rsid w:val="004D7A7C"/>
    <w:rsid w:val="004F6644"/>
    <w:rsid w:val="0053189D"/>
    <w:rsid w:val="00533F58"/>
    <w:rsid w:val="00555784"/>
    <w:rsid w:val="005565E3"/>
    <w:rsid w:val="00567419"/>
    <w:rsid w:val="00580F4A"/>
    <w:rsid w:val="005B6E19"/>
    <w:rsid w:val="005E056F"/>
    <w:rsid w:val="005E7FAC"/>
    <w:rsid w:val="0061418F"/>
    <w:rsid w:val="00620245"/>
    <w:rsid w:val="00631803"/>
    <w:rsid w:val="006359C2"/>
    <w:rsid w:val="00660A41"/>
    <w:rsid w:val="006668C3"/>
    <w:rsid w:val="00676CB9"/>
    <w:rsid w:val="0068245F"/>
    <w:rsid w:val="006838F3"/>
    <w:rsid w:val="00694286"/>
    <w:rsid w:val="006B0B79"/>
    <w:rsid w:val="006E0BB9"/>
    <w:rsid w:val="006E23F8"/>
    <w:rsid w:val="00702C17"/>
    <w:rsid w:val="007310FB"/>
    <w:rsid w:val="00751913"/>
    <w:rsid w:val="00761869"/>
    <w:rsid w:val="00762514"/>
    <w:rsid w:val="0079357F"/>
    <w:rsid w:val="00797494"/>
    <w:rsid w:val="007A051B"/>
    <w:rsid w:val="007B1297"/>
    <w:rsid w:val="007B13A2"/>
    <w:rsid w:val="007D2923"/>
    <w:rsid w:val="007D433A"/>
    <w:rsid w:val="007D61F5"/>
    <w:rsid w:val="007F42CD"/>
    <w:rsid w:val="0080208B"/>
    <w:rsid w:val="0082181D"/>
    <w:rsid w:val="00852D24"/>
    <w:rsid w:val="008835BF"/>
    <w:rsid w:val="00895FAD"/>
    <w:rsid w:val="008D2C79"/>
    <w:rsid w:val="008E6157"/>
    <w:rsid w:val="008F0C22"/>
    <w:rsid w:val="008F6D21"/>
    <w:rsid w:val="00916243"/>
    <w:rsid w:val="009174FA"/>
    <w:rsid w:val="00942548"/>
    <w:rsid w:val="00946CD7"/>
    <w:rsid w:val="009A6744"/>
    <w:rsid w:val="009B3C51"/>
    <w:rsid w:val="009B6B64"/>
    <w:rsid w:val="009C0872"/>
    <w:rsid w:val="009C0974"/>
    <w:rsid w:val="009F47DC"/>
    <w:rsid w:val="009F54C2"/>
    <w:rsid w:val="00A07EFF"/>
    <w:rsid w:val="00A14E31"/>
    <w:rsid w:val="00A4381F"/>
    <w:rsid w:val="00A46B0E"/>
    <w:rsid w:val="00A61241"/>
    <w:rsid w:val="00A61770"/>
    <w:rsid w:val="00A61EE0"/>
    <w:rsid w:val="00A63EC6"/>
    <w:rsid w:val="00A803C3"/>
    <w:rsid w:val="00A813CB"/>
    <w:rsid w:val="00A846D1"/>
    <w:rsid w:val="00AB227B"/>
    <w:rsid w:val="00AB2F4B"/>
    <w:rsid w:val="00AB2FA0"/>
    <w:rsid w:val="00AB2FAA"/>
    <w:rsid w:val="00AB4D69"/>
    <w:rsid w:val="00AF21F1"/>
    <w:rsid w:val="00B0625A"/>
    <w:rsid w:val="00B15D3F"/>
    <w:rsid w:val="00B45030"/>
    <w:rsid w:val="00B544A9"/>
    <w:rsid w:val="00B55B81"/>
    <w:rsid w:val="00B66A0C"/>
    <w:rsid w:val="00B76DB2"/>
    <w:rsid w:val="00B772F3"/>
    <w:rsid w:val="00B85D57"/>
    <w:rsid w:val="00BA3ED2"/>
    <w:rsid w:val="00BB6654"/>
    <w:rsid w:val="00BD0C94"/>
    <w:rsid w:val="00BE3FB1"/>
    <w:rsid w:val="00BF4CBC"/>
    <w:rsid w:val="00BF7B97"/>
    <w:rsid w:val="00C16597"/>
    <w:rsid w:val="00C22EA9"/>
    <w:rsid w:val="00C251C4"/>
    <w:rsid w:val="00C2702C"/>
    <w:rsid w:val="00C421EF"/>
    <w:rsid w:val="00C554AC"/>
    <w:rsid w:val="00C55727"/>
    <w:rsid w:val="00C75173"/>
    <w:rsid w:val="00C9715E"/>
    <w:rsid w:val="00CA26D5"/>
    <w:rsid w:val="00CE4A42"/>
    <w:rsid w:val="00CF5314"/>
    <w:rsid w:val="00D05008"/>
    <w:rsid w:val="00D12657"/>
    <w:rsid w:val="00D2166F"/>
    <w:rsid w:val="00D22186"/>
    <w:rsid w:val="00D22FCC"/>
    <w:rsid w:val="00D54C90"/>
    <w:rsid w:val="00D72F5F"/>
    <w:rsid w:val="00D80C43"/>
    <w:rsid w:val="00D81CA8"/>
    <w:rsid w:val="00D85D73"/>
    <w:rsid w:val="00D9345A"/>
    <w:rsid w:val="00DC007F"/>
    <w:rsid w:val="00DC6F12"/>
    <w:rsid w:val="00DD6E06"/>
    <w:rsid w:val="00DE4AC9"/>
    <w:rsid w:val="00DF528E"/>
    <w:rsid w:val="00E129CB"/>
    <w:rsid w:val="00E25281"/>
    <w:rsid w:val="00E27527"/>
    <w:rsid w:val="00E3394C"/>
    <w:rsid w:val="00E45B86"/>
    <w:rsid w:val="00E71FB2"/>
    <w:rsid w:val="00E92E53"/>
    <w:rsid w:val="00E960D8"/>
    <w:rsid w:val="00EB7657"/>
    <w:rsid w:val="00EC1B3B"/>
    <w:rsid w:val="00EE4B78"/>
    <w:rsid w:val="00F051FD"/>
    <w:rsid w:val="00F172BC"/>
    <w:rsid w:val="00F426F0"/>
    <w:rsid w:val="00F629EA"/>
    <w:rsid w:val="00F800E0"/>
    <w:rsid w:val="00F80715"/>
    <w:rsid w:val="00F85983"/>
    <w:rsid w:val="00F874DF"/>
    <w:rsid w:val="00FA4E06"/>
    <w:rsid w:val="00FB7304"/>
    <w:rsid w:val="00FC55C0"/>
    <w:rsid w:val="00FF05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0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EC6"/>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EC6"/>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CDF7-7363-481F-8E3D-AA9DA2E8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HPLMN Selection in Network Sharing</vt:lpstr>
      <vt:lpstr>Introduction</vt:lpstr>
      <vt:lpstr>Discussion</vt:lpstr>
      <vt:lpstr>Conclusion and WAY Forward</vt:lpstr>
      <vt:lpstr>REFERENCES</vt:lpstr>
    </vt:vector>
  </TitlesOfParts>
  <Company>Renesas Mobile</Company>
  <LinksUpToDate>false</LinksUpToDate>
  <CharactersWithSpaces>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Renesas  Mobile</dc:creator>
  <cp:lastModifiedBy>Renesas Mobile Europe Ltd</cp:lastModifiedBy>
  <cp:revision>4</cp:revision>
  <dcterms:created xsi:type="dcterms:W3CDTF">2013-04-24T16:40:00Z</dcterms:created>
  <dcterms:modified xsi:type="dcterms:W3CDTF">2013-04-25T11:34:00Z</dcterms:modified>
</cp:coreProperties>
</file>